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10" w:rsidRPr="00617C10" w:rsidRDefault="00617C10" w:rsidP="00617C10">
      <w:pPr>
        <w:ind w:left="2832"/>
        <w:rPr>
          <w:rFonts w:ascii="Calibri" w:eastAsia="Calibri" w:hAnsi="Calibri" w:cs="Times New Roman"/>
        </w:rPr>
      </w:pPr>
      <w:r w:rsidRPr="00617C10">
        <w:rPr>
          <w:rFonts w:ascii="Calibri" w:eastAsia="Calibri" w:hAnsi="Calibri" w:cs="Times New Roman"/>
        </w:rPr>
        <w:t xml:space="preserve">                   </w:t>
      </w:r>
      <w:r w:rsidRPr="00617C10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91447829" r:id="rId7"/>
        </w:object>
      </w:r>
    </w:p>
    <w:p w:rsidR="00617C10" w:rsidRPr="00617C10" w:rsidRDefault="00617C10" w:rsidP="0061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7C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РЕСПУБЛИКА КРЫМ</w:t>
      </w:r>
    </w:p>
    <w:p w:rsidR="00617C10" w:rsidRPr="00617C10" w:rsidRDefault="00617C10" w:rsidP="00617C10">
      <w:pPr>
        <w:suppressAutoHyphens/>
        <w:spacing w:after="0" w:line="240" w:lineRule="auto"/>
        <w:rPr>
          <w:rFonts w:ascii="Times New Roman" w:eastAsia="Times New Roman" w:hAnsi="Times New Roman" w:cs="Bookman Old Style"/>
          <w:b/>
          <w:bCs/>
          <w:sz w:val="24"/>
          <w:szCs w:val="24"/>
          <w:lang w:eastAsia="ar-SA"/>
        </w:rPr>
      </w:pPr>
      <w:r w:rsidRPr="00617C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</w:t>
      </w:r>
      <w:r w:rsidRPr="00617C10">
        <w:rPr>
          <w:rFonts w:ascii="Times New Roman" w:eastAsia="Times New Roman" w:hAnsi="Times New Roman" w:cs="Bookman Old Style"/>
          <w:b/>
          <w:bCs/>
          <w:sz w:val="24"/>
          <w:szCs w:val="24"/>
          <w:lang w:eastAsia="ar-SA"/>
        </w:rPr>
        <w:t xml:space="preserve">   НИЖНЕГОРСКИЙ  СЕЛЬСКИЙ СОВЕТ</w:t>
      </w:r>
    </w:p>
    <w:p w:rsidR="00617C10" w:rsidRPr="00617C10" w:rsidRDefault="00617C10" w:rsidP="0061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7C10">
        <w:rPr>
          <w:rFonts w:ascii="Times New Roman" w:eastAsia="Times New Roman" w:hAnsi="Times New Roman" w:cs="Bookman Old Style"/>
          <w:b/>
          <w:bCs/>
          <w:sz w:val="24"/>
          <w:szCs w:val="24"/>
          <w:lang w:eastAsia="ar-SA"/>
        </w:rPr>
        <w:t xml:space="preserve">                                                             </w:t>
      </w:r>
      <w:proofErr w:type="gramStart"/>
      <w:r w:rsidRPr="00617C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</w:t>
      </w:r>
      <w:proofErr w:type="gramEnd"/>
      <w:r w:rsidRPr="00617C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Е Ш Е Н И Е</w:t>
      </w:r>
    </w:p>
    <w:p w:rsidR="00617C10" w:rsidRPr="00617C10" w:rsidRDefault="00617C10" w:rsidP="00617C10">
      <w:pPr>
        <w:rPr>
          <w:rFonts w:ascii="Times New Roman" w:eastAsia="Calibri" w:hAnsi="Times New Roman" w:cs="Times New Roman"/>
          <w:b/>
          <w:szCs w:val="24"/>
        </w:rPr>
      </w:pPr>
      <w:r w:rsidRPr="00617C10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 51-й сессии 1-го созыва</w:t>
      </w:r>
    </w:p>
    <w:p w:rsidR="00617C10" w:rsidRDefault="00617C10" w:rsidP="00617C1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17C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«22»  июня  2018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617C10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  <w:r w:rsidR="00631FCD">
        <w:rPr>
          <w:rFonts w:ascii="Times New Roman" w:eastAsia="Calibri" w:hAnsi="Times New Roman" w:cs="Times New Roman"/>
          <w:sz w:val="24"/>
          <w:szCs w:val="24"/>
        </w:rPr>
        <w:t>291</w:t>
      </w:r>
      <w:r w:rsidRPr="00617C1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17C1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617C10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17C10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2C3A2E" w:rsidRDefault="002C3A2E" w:rsidP="002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оценки</w:t>
      </w:r>
      <w:r w:rsidR="0061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ффективности предоставленных </w:t>
      </w:r>
    </w:p>
    <w:p w:rsidR="002C3A2E" w:rsidRDefault="002C3A2E" w:rsidP="002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</w:t>
      </w:r>
      <w:r w:rsidR="0061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льгот, пониженных</w:t>
      </w:r>
    </w:p>
    <w:p w:rsidR="002C3A2E" w:rsidRDefault="00E44573" w:rsidP="002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алоговых ставок,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ормативными правовыми актами </w:t>
      </w:r>
    </w:p>
    <w:p w:rsidR="002C3A2E" w:rsidRPr="002C3A2E" w:rsidRDefault="002C3A2E" w:rsidP="002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</w:t>
      </w:r>
    </w:p>
    <w:p w:rsidR="002C3A2E" w:rsidRPr="002C3A2E" w:rsidRDefault="002C3A2E" w:rsidP="002C3A2E">
      <w:pPr>
        <w:spacing w:after="0" w:line="240" w:lineRule="auto"/>
        <w:ind w:left="20" w:right="46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3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C3A2E" w:rsidRPr="002C3A2E" w:rsidRDefault="002C3A2E" w:rsidP="00631FCD">
      <w:pPr>
        <w:spacing w:after="0" w:line="240" w:lineRule="auto"/>
        <w:ind w:right="20"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631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Постановлением Совета министров Республики Крым от 30 мая 2018 года № 257 «О некоторых вопросах оценки эффективности предоставленных (планируемых к предоставлению) налоговых льгот, пониженных налоговых ставок, установленных законами Республики Крым»,  </w:t>
      </w:r>
      <w:r w:rsidRPr="002C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муниципального образования </w:t>
      </w:r>
      <w:proofErr w:type="spellStart"/>
      <w:r w:rsidRPr="002C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Нижнегорское</w:t>
      </w:r>
      <w:proofErr w:type="spellEnd"/>
      <w:r w:rsidRPr="002C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 Нижнегорского района Республики Крым, </w:t>
      </w:r>
      <w:r w:rsidR="00631FCD" w:rsidRPr="00631FCD">
        <w:rPr>
          <w:rFonts w:ascii="Times New Roman" w:hAnsi="Times New Roman" w:cs="Times New Roman"/>
          <w:sz w:val="24"/>
          <w:szCs w:val="24"/>
        </w:rPr>
        <w:t>с целью оптимизации</w:t>
      </w:r>
      <w:proofErr w:type="gramEnd"/>
      <w:r w:rsidR="00631FCD" w:rsidRPr="00631FCD">
        <w:rPr>
          <w:rFonts w:ascii="Times New Roman" w:hAnsi="Times New Roman" w:cs="Times New Roman"/>
          <w:sz w:val="24"/>
          <w:szCs w:val="24"/>
        </w:rPr>
        <w:t xml:space="preserve"> действующих налоговых льгот и/или пониженных налоговых ставок и определения </w:t>
      </w:r>
      <w:proofErr w:type="gramStart"/>
      <w:r w:rsidR="00631FCD" w:rsidRPr="00631FCD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="00631FCD" w:rsidRPr="00631FCD">
        <w:rPr>
          <w:rFonts w:ascii="Times New Roman" w:hAnsi="Times New Roman" w:cs="Times New Roman"/>
          <w:sz w:val="24"/>
          <w:szCs w:val="24"/>
        </w:rPr>
        <w:t xml:space="preserve"> планируемых к предоставлению налоговых льгот и пониженных налоговых ставок в </w:t>
      </w:r>
      <w:r w:rsidR="00631FCD">
        <w:rPr>
          <w:rFonts w:ascii="Times New Roman" w:hAnsi="Times New Roman" w:cs="Times New Roman"/>
          <w:sz w:val="24"/>
          <w:szCs w:val="24"/>
        </w:rPr>
        <w:t>Нижнегорском сельском поселении Нижнегорского района Республики Крым</w:t>
      </w:r>
      <w:r w:rsidRPr="00631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Нижнегорский сельский совет</w:t>
      </w:r>
    </w:p>
    <w:p w:rsidR="002C3A2E" w:rsidRPr="002C3A2E" w:rsidRDefault="002C3A2E" w:rsidP="002C3A2E">
      <w:pPr>
        <w:spacing w:after="0" w:line="240" w:lineRule="auto"/>
        <w:ind w:right="20" w:firstLine="5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3A2E" w:rsidRPr="002C3A2E" w:rsidRDefault="002C3A2E" w:rsidP="002C3A2E">
      <w:pPr>
        <w:spacing w:after="0" w:line="240" w:lineRule="auto"/>
        <w:ind w:right="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2C3A2E" w:rsidRPr="002C3A2E" w:rsidRDefault="002C3A2E" w:rsidP="002C3A2E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3A2E" w:rsidRPr="002C3A2E" w:rsidRDefault="002C3A2E" w:rsidP="002C3A2E">
      <w:pPr>
        <w:pStyle w:val="a3"/>
        <w:numPr>
          <w:ilvl w:val="0"/>
          <w:numId w:val="1"/>
        </w:numPr>
        <w:spacing w:after="0" w:line="240" w:lineRule="auto"/>
        <w:ind w:left="0" w:right="-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Порядок оценки эффективн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предоставленных (планиру</w:t>
      </w:r>
      <w:r w:rsidRPr="002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к предоставлению) налоговых льгот, пониженных налоговых ставок, установленных законами Республики Крым, согласно приложению 1. </w:t>
      </w:r>
    </w:p>
    <w:p w:rsidR="002C3A2E" w:rsidRPr="002C3A2E" w:rsidRDefault="002C3A2E" w:rsidP="002C3A2E">
      <w:pPr>
        <w:pStyle w:val="a3"/>
        <w:numPr>
          <w:ilvl w:val="0"/>
          <w:numId w:val="1"/>
        </w:numPr>
        <w:spacing w:after="0" w:line="240" w:lineRule="auto"/>
        <w:ind w:left="0" w:right="-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Методику оценки эффективности предоставленных (планируемых к предоставлению) налоговых льгот, пониженных налоговых ставок, установленных нормативными правовыми актами Нижнегорского сельского поселения</w:t>
      </w:r>
      <w:r w:rsidR="002073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A2E" w:rsidRPr="002C3A2E" w:rsidRDefault="002C3A2E" w:rsidP="002C3A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 решение путем размещения на официальном сайте администрации Нижнегорского сельского поселения в информационно-телекоммуникационной сети «Интернет» и информационном стенде в здании администрации Нижнегорского сельского поселения, расположенном по адресу: Республика Крым, Нижнегорский район, </w:t>
      </w:r>
      <w:proofErr w:type="spellStart"/>
      <w:r w:rsidRPr="002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Нижнегорский, ул. </w:t>
      </w:r>
      <w:proofErr w:type="gramStart"/>
      <w:r w:rsidRPr="002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2C3A2E">
        <w:rPr>
          <w:rFonts w:ascii="Times New Roman" w:eastAsia="Times New Roman" w:hAnsi="Times New Roman" w:cs="Times New Roman"/>
          <w:sz w:val="24"/>
          <w:szCs w:val="24"/>
          <w:lang w:eastAsia="ru-RU"/>
        </w:rPr>
        <w:t>, 8а.</w:t>
      </w:r>
    </w:p>
    <w:p w:rsidR="002C3A2E" w:rsidRPr="002C3A2E" w:rsidRDefault="002C3A2E" w:rsidP="002C3A2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обнародования.</w:t>
      </w:r>
    </w:p>
    <w:p w:rsidR="002C3A2E" w:rsidRPr="002C3A2E" w:rsidRDefault="002C3A2E" w:rsidP="002C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A2E" w:rsidRPr="002C3A2E" w:rsidRDefault="002C3A2E" w:rsidP="002C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A2E" w:rsidRDefault="002C3A2E" w:rsidP="002C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Нижнегорского </w:t>
      </w:r>
    </w:p>
    <w:p w:rsidR="002C3A2E" w:rsidRPr="002C3A2E" w:rsidRDefault="002C3A2E" w:rsidP="002C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C3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                                                                                            </w:t>
      </w:r>
      <w:r w:rsidRPr="002C3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А. А. </w:t>
      </w:r>
      <w:proofErr w:type="spellStart"/>
      <w:r w:rsidRPr="002C3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Конохов</w:t>
      </w:r>
      <w:proofErr w:type="spellEnd"/>
    </w:p>
    <w:p w:rsidR="002C3A2E" w:rsidRPr="002C3A2E" w:rsidRDefault="002C3A2E" w:rsidP="002C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C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C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2C3A2E" w:rsidRPr="002C3A2E" w:rsidRDefault="002C3A2E" w:rsidP="002C3A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7D49" w:rsidRDefault="00387D49" w:rsidP="00B51F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7D49" w:rsidRPr="000D72DB" w:rsidRDefault="000D72DB" w:rsidP="000D72DB">
      <w:pPr>
        <w:widowControl w:val="0"/>
        <w:autoSpaceDE w:val="0"/>
        <w:autoSpaceDN w:val="0"/>
        <w:adjustRightInd w:val="0"/>
        <w:spacing w:before="108" w:after="108" w:line="240" w:lineRule="auto"/>
        <w:ind w:left="5103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Приложение </w:t>
      </w:r>
      <w:r w:rsidR="002073F8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№ 1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к решению Нижнегорского сельского совета от 22.06.2018 № </w:t>
      </w:r>
    </w:p>
    <w:p w:rsid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87D4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387D4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оценки эффективности предоставленных (планируемых к предоставлению) налоговых льгот, пониженных налоговых ставок, установленных </w:t>
      </w:r>
      <w:r w:rsidR="005F032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нормативными правовыми актами Нижнегорского сельского поселения Нижнегорского района </w:t>
      </w:r>
      <w:r w:rsidRPr="00387D4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Республики Крым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0"/>
      <w:r w:rsidRPr="00387D4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0"/>
    <w:p w:rsidR="00387D49" w:rsidRP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1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1.1. Порядок оценки эффективности предоставленных (планируемых к предоставлению) налоговых льгот, пониженных налоговых ставок, установленных </w:t>
      </w:r>
      <w:r w:rsidR="005F03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нормативными правовыми актами Нижнегорского сельского поселения Нижнегорского района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Республики Крым (далее - Порядок), определяет цели, для достижения которых отдельными категориями налогоплательщиков могут направляться высвободившиеся денежные средства от предоставленных (планируемых к предоставлению) налоговых льгот и пониженных налоговых ставок; устанавливает механизм проведения оценки эффективности предоставленных (планируемых к предоставлению) налоговых льгот, в том числе пониженных налоговых ставок, установленных </w:t>
      </w:r>
      <w:r w:rsidR="005F03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нормативными правовыми актами Нижнегорского сельского поселения Нижнегорского района</w:t>
      </w:r>
      <w:r w:rsidR="00B51F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Республики Крым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критерии их оценки; определяет </w:t>
      </w:r>
      <w:r w:rsidR="005F03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Нижнегорского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B51F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сельского поселения Нижнегорского района 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Республики Крым, осуществляющие проведение такой оценки.</w:t>
      </w:r>
    </w:p>
    <w:bookmarkEnd w:id="1"/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200"/>
      <w:r w:rsidRPr="00387D4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 Цели, для достижения которых предоставляются (планируются к предоставлению) налоговые льготы и пониженные налоговые ставки</w:t>
      </w:r>
    </w:p>
    <w:bookmarkEnd w:id="2"/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1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 Основными целями, для достижения которых предоставляются (планируются к </w:t>
      </w:r>
      <w:proofErr w:type="gramStart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предоставлению) </w:t>
      </w:r>
      <w:proofErr w:type="gramEnd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налоговые льготы, устанавливаются пониженные налоговые ставки отдельным категориям налогоплательщиков, являются: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211"/>
      <w:bookmarkEnd w:id="3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2.1.1 достижение благоприятных социальных последствий предоставления налоговых льгот, в том числе улучшение условий </w:t>
      </w:r>
      <w:proofErr w:type="gramStart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жизнедеятельности населения </w:t>
      </w:r>
      <w:r w:rsidR="006B69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</w:t>
      </w:r>
      <w:proofErr w:type="gramEnd"/>
      <w:r w:rsidR="006B69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Крым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212"/>
      <w:bookmarkEnd w:id="4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2.1.2 создание благоприятных экономических условий для деятельности организаций, применяющих труд социально незащищенных слоев населения;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13"/>
      <w:bookmarkEnd w:id="5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2.1.3 стимулирование использования финансовых ресурсов налогоплательщиков для расширения и обновления производств и технологий с целью увеличения объемов производства, выпуска конкурентоспособной продукции и создания новых рабочих мест; поддержка инвестиционной и инновационной деятельности; создание условий для увеличения объемов производства, формирования дополнительных и сохранения существующих рабочих мест; оказание финансовой поддержки организациям в решении приоритетных для </w:t>
      </w:r>
      <w:r w:rsidR="00B51F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B51FF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социальных задач;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14"/>
      <w:bookmarkEnd w:id="6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2.1.4 сохранение и (или) рост </w:t>
      </w:r>
      <w:proofErr w:type="gramStart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доходов бюджета </w:t>
      </w:r>
      <w:r w:rsidR="00B51F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</w:t>
      </w:r>
      <w:proofErr w:type="gramEnd"/>
      <w:r w:rsidR="00B51F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Крым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снижение расходов бюджета </w:t>
      </w:r>
      <w:r w:rsidR="00B51F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215"/>
      <w:bookmarkEnd w:id="7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2.1.5 стимулирование роста базы налогообложения, обеспечение прироста 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поступлений сре</w:t>
      </w:r>
      <w:proofErr w:type="gramStart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в б</w:t>
      </w:r>
      <w:proofErr w:type="gramEnd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юджет </w:t>
      </w:r>
      <w:r w:rsidR="00B51F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22"/>
      <w:bookmarkEnd w:id="8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 Оценка эффективности налоговых льгот проводится отдельно по каждому виду (направлению) налоговых льгот.</w:t>
      </w:r>
    </w:p>
    <w:bookmarkEnd w:id="9"/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300"/>
      <w:r w:rsidRPr="00387D4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 Критерии оценки эффективности налоговых льгот, пониженных налоговых ставок</w:t>
      </w:r>
    </w:p>
    <w:bookmarkEnd w:id="10"/>
    <w:p w:rsidR="00387D49" w:rsidRP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31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Оценка эффективности предоставленных (планируемых к предоставлению) отдельным категориям налогоплательщиков налоговых льгот или установления пониженных налоговых ставок осуществляется на основании следующих критериев: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311"/>
      <w:bookmarkEnd w:id="11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3.1.1 бюджетная эффективность - оценка влияния итогов предоставления льгот по налогообложению на объем доходов бюджета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3B6E76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(расширение налогооблагаемой базы и прирост поступлений платежей в бюджет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3B6E76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сравнению с величиной предоставленных или планируемых к предоставлению льгот по налогообложению);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312"/>
      <w:bookmarkEnd w:id="12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3.1.2 экономическая эффективность - положительная динамика финансово-экономических показателей деятельности категории налогоплательщиков (прибыльность, рентабельность, расширение производства, ассортимента продукции (работ, услуг), снижение себестоимости продукции (работ, услуг) и другие), увеличение капитальных вложений в основные средства, осуществление инвестиционной и инновационной деятельности на территории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313"/>
      <w:bookmarkEnd w:id="13"/>
      <w:proofErr w:type="gramStart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3.1.3 социальная эффективность (социальная значимость) -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3B6E76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(создание новых рабочих мест, улучшение условий труда, сохранение рабочих мест для малоимущих и социально незащищенных слоев населения, формирование</w:t>
      </w:r>
      <w:proofErr w:type="gramEnd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льготных условий для оплаты услуг незащищенным слоям населения, улучшение экологической обстановки и другие).</w:t>
      </w:r>
    </w:p>
    <w:bookmarkEnd w:id="14"/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5" w:name="sub_400"/>
      <w:r w:rsidRPr="00387D4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Организация проведения оценки предоставленных (планируемых к предоставлению) налоговых льгот и пониженных налоговых ставок</w:t>
      </w:r>
    </w:p>
    <w:bookmarkEnd w:id="15"/>
    <w:p w:rsidR="00387D49" w:rsidRP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410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4.1. </w:t>
      </w:r>
      <w:proofErr w:type="gramStart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Оценка эффективности проводится в отношении предоставленных налоговых льгот и пониженных налоговых ставок, установленных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нормативными правовыми актами Нижнегорского сельского поселения Нижнегорского района Республики Крым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по основным налоговым источникам: по налогу на прибыль организаций, подлежащему зачислению в бюджет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 по налогу на имущество организаций; по транспортному налогу;</w:t>
      </w:r>
      <w:proofErr w:type="gramEnd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налогу, уплачиваемому при применении патентной системы налогообложения; по налогу, взимаемому в связи с применением упрощенной системы налогообложения; по единому сельскохозяйственному налогу.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420"/>
      <w:bookmarkEnd w:id="16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 </w:t>
      </w:r>
      <w:proofErr w:type="gramStart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Оценка эффективности налоговых льгот и установленных пониженных налоговых ставок производится в целях оптимизации перечня действующих льгот по налогообложению, обеспечения их соответствия общественным интересам, оптимального 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выбора объектов для предоставления финансовой поддержки в форме налоговых льгот, сокращения недополученных доходов бюджета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3B6E76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 счет отмены неэффективных налоговых льгот.</w:t>
      </w:r>
      <w:proofErr w:type="gramEnd"/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43"/>
      <w:bookmarkEnd w:id="17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4.3. Оценка эффективности предоставленных налоговых льгот, пониженных налоговых ставок проводится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администрацией Нижнегорского сельского поселения Нижнегорского района Республики Крым  (далее - уполномоченный орган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44"/>
      <w:bookmarkEnd w:id="18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 Оценка эффективности налоговых льгот, пониженных налоговых ставок включает в себя оценку бюджетной, экономической и социальной эффективности налоговых льгот.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45"/>
      <w:bookmarkEnd w:id="19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4.5. Оценка эффективности предоставленных (планируемых к предоставлению) налоговых льгот физическим лицам и общественным организациям инвалидов осуществляется по критерию социальной эффективности.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46"/>
      <w:bookmarkEnd w:id="20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4.6. Оценка эффективности предоставленных (планируемых к предоставлению) налоговых льгот органам государственной власти Республики Крым, органам местного самоуправления муниципальных образований в Республике Крым, а также учреждениям, находящимся в ведении указанных органов, осуществляется по критерию бюджетной эффективности.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47"/>
      <w:bookmarkEnd w:id="21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4.7. Оценка эффективности предоставленных (планируемых к предоставлению) налоговых льгот организациям, индивидуальным предпринимателям для целей, указанных в </w:t>
      </w:r>
      <w:hyperlink w:anchor="sub_211" w:history="1">
        <w:r w:rsidRPr="003B6E7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подпункте 2.1.1</w:t>
        </w:r>
      </w:hyperlink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осуществляется по критерию социальной эффективности, а для целей, указанных в </w:t>
      </w:r>
      <w:hyperlink w:anchor="sub_212" w:history="1">
        <w:r w:rsidRPr="003B6E7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подпункте 2.1.2</w:t>
        </w:r>
      </w:hyperlink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213" w:history="1">
        <w:r w:rsidRPr="003B6E7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2.1.3</w:t>
        </w:r>
      </w:hyperlink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осуществляется по критериям экономической эффективности и бюджетной эффективности.</w:t>
      </w:r>
    </w:p>
    <w:p w:rsidR="00387D49" w:rsidRPr="00387D49" w:rsidRDefault="00617C10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48"/>
      <w:bookmarkEnd w:id="2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4.8</w:t>
      </w:r>
      <w:r w:rsidR="00387D4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Оценка эффективности предоставленных налоговых льгот, пониженных налоговых ставок производится на основе расчетов показателей эффективности налоговых льгот в соответствии с </w:t>
      </w:r>
      <w:hyperlink w:anchor="sub_2000" w:history="1">
        <w:r w:rsidR="00387D49" w:rsidRPr="003B6E7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Методикой</w:t>
        </w:r>
      </w:hyperlink>
      <w:r w:rsidR="00387D4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оценки эффективности предоставленных (планируемых к предоставлению) налоговых льгот, в том числе пониженных налоговых ставок, установленных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нормативными правовыми актами</w:t>
      </w:r>
      <w:r w:rsidR="00387D4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3B6E76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87D4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- Методика), утвержденной настоящим постановлением.</w:t>
      </w:r>
    </w:p>
    <w:bookmarkEnd w:id="23"/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Расчеты показателей эффективности налоговых льгот производятся на основании данных налогоплательщиков с учетом информации муниципальных образований по таким плательщикам, налоговой, статистической, финансовой, бухгалтерской отчетности, а также иной информации, позволяющей произвести необходимые расчеты.</w:t>
      </w:r>
    </w:p>
    <w:p w:rsidR="00387D49" w:rsidRPr="00387D49" w:rsidRDefault="00617C10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4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4.9</w:t>
      </w:r>
      <w:r w:rsidR="00387D4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Оценка эффективности планируемых к предоставлению налоговых льгот, пониженных налоговых ставок проводится инициатором введения налоговой льготы в процессе разработки законопроектов, предусматривающих введение новых налоговых льгот и пониженных налоговых ставок, до их принятия в установленном законодательством порядке.</w:t>
      </w:r>
    </w:p>
    <w:p w:rsidR="00387D49" w:rsidRPr="00387D49" w:rsidRDefault="00617C10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50"/>
      <w:bookmarkEnd w:id="2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4.10</w:t>
      </w:r>
      <w:r w:rsidR="00387D4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Предложения о предоставлении отдельной категории налогоплательщиков налоговой льготы, пониженных налоговых ставок должны содержать расчеты показателей эффективности налоговых льгот.</w:t>
      </w:r>
    </w:p>
    <w:bookmarkEnd w:id="25"/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Результаты оценки эффективности планируемых к предоставлению налоговых льгот, пониженных налоговых ставок должны содержать: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расчеты бюджетной, экономической и социальной эффективности в соответствии с утвержденной </w:t>
      </w:r>
      <w:hyperlink w:anchor="sub_2000" w:history="1">
        <w:r w:rsidRPr="003B6E7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Методикой</w:t>
        </w:r>
      </w:hyperlink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аналитическую записку с обоснованием необходимости предоставления налоговых льгот (установления пониженных налоговых ставок), включающим в себя конкретные цели и задачи, на достижение которых направлено предоставление налоговой льготы, категории налогоплательщиков, которым планируется предоставить налоговые льготы, условия и сроки предоставления налоговых льгот, величины потерь бюджета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Нижнегорского сельского поселения Нижнегорского района Республики Крым</w:t>
      </w:r>
      <w:r w:rsidR="003B6E76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результате применения льготы за год.</w:t>
      </w:r>
      <w:proofErr w:type="gramEnd"/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Инициатором введения налоговой льготы проект нормативного правового акта, содержащий предложения о предоставлении отдельной категории налог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оплательщиков налоговой льготы 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представляется в </w:t>
      </w:r>
      <w:r w:rsidR="003B6E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Нижнегорский сельский поселения Нижнегорского района Республики Крым.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6" w:name="sub_500"/>
      <w:r w:rsidRPr="00387D4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5. Порядок проведения оценки эффективности предоставленных налоговых льгот, пониженных налоговых ставок</w:t>
      </w:r>
    </w:p>
    <w:bookmarkEnd w:id="26"/>
    <w:p w:rsidR="00387D49" w:rsidRPr="00387D49" w:rsidRDefault="00387D49" w:rsidP="00387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510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5.1. </w:t>
      </w:r>
      <w:proofErr w:type="gramStart"/>
      <w:r w:rsidR="00D026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Нижнегорского сельского поселения Нижнегорского района Республики Крым ежегодно проводи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 оценку эффективности предоставленных налоговых льгот, пониженных </w:t>
      </w:r>
      <w:r w:rsidR="00D026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налоговых ставок, установленных нормативными правовыми актами Нижнегорского сельского поселения Нижнегорского района Республики Крым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за отчетный финансовый год и в срок до 20 июня текущего финансового года направляют в </w:t>
      </w:r>
      <w:r w:rsidR="00D026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Нижнегорский сельский совет Нижнегорского района Республики Крым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отчет о результатах оценки эффективности предоставленных налоговых льгот, пониженных</w:t>
      </w:r>
      <w:proofErr w:type="gramEnd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налоговых ставок, установленных </w:t>
      </w:r>
      <w:r w:rsidR="00D026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нормативными правовыми актами Нижнегорского сельского поселения Нижнегорского района Республики Крым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по форме, определенной </w:t>
      </w:r>
      <w:hyperlink w:anchor="sub_1200" w:history="1">
        <w:r w:rsidRPr="00D026B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приложением 2 </w:t>
        </w:r>
      </w:hyperlink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настоящему Порядку, с приложением произведенных расчетов и аналитической записки, содержащей предложения о необходимости сохранения, корректировки или отмены налоговых льгот, пониженных налоговых ставок.</w:t>
      </w:r>
      <w:proofErr w:type="gramEnd"/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520"/>
      <w:bookmarkEnd w:id="27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5.2. При отсутствии данных, необходимых для проведения оценки, </w:t>
      </w:r>
      <w:r w:rsidR="00D026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Нижнегорского сельского поселения Нижнегорского района Республики Крым запрашивае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 сведения, определенные </w:t>
      </w:r>
      <w:hyperlink w:anchor="sub_2100" w:history="1">
        <w:r w:rsidRPr="00D026B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приложением</w:t>
        </w:r>
      </w:hyperlink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Методике оценки эффективности предоставленных (планируемых к предоставлению) налоговых льгот, пониженных налоговых ставок, у налогоплательщиков - юридических лиц. При непредставлении запрашиваемых сведений в течение месяца со дня направления запроса эффект от предоставления налоговой льготы, пониженной налоговой ставки принимается </w:t>
      </w:r>
      <w:proofErr w:type="gramStart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равным</w:t>
      </w:r>
      <w:proofErr w:type="gramEnd"/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нулю.</w:t>
      </w:r>
    </w:p>
    <w:p w:rsidR="00387D49" w:rsidRPr="00387D49" w:rsidRDefault="00D026BC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54"/>
      <w:bookmarkEnd w:id="2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5.3</w:t>
      </w:r>
      <w:r w:rsidR="00387D4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Отчет о результатах оценки эффективности предоставленных налоговых льгот, пониженных налоговых ставок, </w:t>
      </w:r>
      <w:r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установленных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нормативными правовыми актами Нижнегорского сельского поселения Нижнегорского района Республики Крым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Pr="00217F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аналитическая </w:t>
      </w:r>
      <w:r w:rsidR="00217F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записка, содержащая предложения о необходимости сохранения, корректировки или отмены налоговых льгот, пониженных налоговых ставок, размещается на официальном сайте администрации Нижнегорского сельского поселения Нижнегорского района Республики Крым.</w:t>
      </w:r>
    </w:p>
    <w:p w:rsidR="00387D49" w:rsidRPr="00387D49" w:rsidRDefault="00617C10" w:rsidP="00217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55"/>
      <w:bookmarkEnd w:id="2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5.4</w:t>
      </w:r>
      <w:r w:rsidR="00387D4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bookmarkStart w:id="31" w:name="sub_57"/>
      <w:bookmarkEnd w:id="30"/>
      <w:r w:rsidR="00387D4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Результаты оценки эффективности налоговых льгот, пониженных налоговых ставок используются при разработке </w:t>
      </w:r>
      <w:proofErr w:type="gramStart"/>
      <w:r w:rsidR="00387D4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проекта бюджета </w:t>
      </w:r>
      <w:r w:rsidR="00217F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Нижнегорского сельского поселения Нижнегорского района Республики</w:t>
      </w:r>
      <w:proofErr w:type="gramEnd"/>
      <w:r w:rsidR="00217F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Крым</w:t>
      </w:r>
      <w:r w:rsidR="00387D49" w:rsidRPr="00387D4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очередной финансовый год и плановый период, принятии мер по отмене неэффективных налоговых льгот, а также при разработке предложений по совершенствованию мер поддержки отдельных категорий налогоплательщиков.</w:t>
      </w:r>
    </w:p>
    <w:bookmarkEnd w:id="31"/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4C89" w:rsidRDefault="00644C8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</w:pPr>
    </w:p>
    <w:p w:rsidR="00387D49" w:rsidRDefault="00387D49" w:rsidP="00387D49">
      <w:pPr>
        <w:jc w:val="both"/>
        <w:sectPr w:rsidR="00387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D49" w:rsidRPr="00EB644D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bookmarkStart w:id="32" w:name="sub_1200"/>
      <w:r w:rsidRPr="00EB644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lastRenderedPageBreak/>
        <w:t>Приложение 2</w:t>
      </w:r>
      <w:r w:rsidRPr="00EB644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 xml:space="preserve">к </w:t>
      </w:r>
      <w:hyperlink w:anchor="sub_1000" w:history="1">
        <w:r w:rsidRPr="00EB644D">
          <w:rPr>
            <w:rFonts w:ascii="Times New Roman" w:eastAsiaTheme="minorEastAsia" w:hAnsi="Times New Roman" w:cs="Times New Roman"/>
            <w:color w:val="106BBE"/>
            <w:sz w:val="18"/>
            <w:szCs w:val="18"/>
            <w:lang w:eastAsia="ru-RU"/>
          </w:rPr>
          <w:t>Порядку</w:t>
        </w:r>
      </w:hyperlink>
      <w:r w:rsidRPr="00EB644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t xml:space="preserve"> оценки </w:t>
      </w:r>
      <w:r w:rsidRPr="00EB644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эффективности предоставленных</w:t>
      </w:r>
      <w:r w:rsidRPr="00EB644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 xml:space="preserve">(планируемых к предоставлению) </w:t>
      </w:r>
      <w:r w:rsidRPr="00EB644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 xml:space="preserve">налоговых льгот, пониженных </w:t>
      </w:r>
      <w:r w:rsidRPr="00EB644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налоговых ставок, установленных</w:t>
      </w:r>
      <w:r w:rsidRPr="00EB644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br/>
        <w:t>нормативными правовыми актами</w:t>
      </w:r>
    </w:p>
    <w:p w:rsidR="00387D49" w:rsidRPr="00EB644D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EB644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t xml:space="preserve"> Нижнегорского сельского поселения</w:t>
      </w:r>
    </w:p>
    <w:p w:rsidR="00387D49" w:rsidRPr="00EB644D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EB644D"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  <w:t>Республики Крым</w:t>
      </w:r>
    </w:p>
    <w:bookmarkEnd w:id="32"/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87D49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Отчет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87D49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о результатах оценки эффективности </w:t>
      </w:r>
      <w:r w:rsidR="00217F95">
        <w:rPr>
          <w:rFonts w:ascii="Courier New" w:eastAsiaTheme="minorEastAsia" w:hAnsi="Courier New" w:cs="Courier New"/>
          <w:b/>
          <w:bCs/>
          <w:color w:val="26282F"/>
          <w:lang w:eastAsia="ru-RU"/>
        </w:rPr>
        <w:t>предоставленных налоговых льгот</w:t>
      </w:r>
    </w:p>
    <w:p w:rsidR="00217F95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 w:rsidRPr="00387D49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пониженных налоговых ставок, установленных </w:t>
      </w:r>
      <w:r w:rsidR="00217F95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нормативными правовыми актами </w:t>
      </w:r>
    </w:p>
    <w:p w:rsidR="00387D49" w:rsidRPr="00387D49" w:rsidRDefault="00217F95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>Нижнегорского сельского поселения Нижнегорского района Республики Крым</w:t>
      </w:r>
    </w:p>
    <w:p w:rsidR="00387D49" w:rsidRPr="00387D49" w:rsidRDefault="00217F95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>Администрация Нижнегорского сельского поселения Нижнегорского района республики Крым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87D49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</w:t>
      </w:r>
    </w:p>
    <w:p w:rsidR="00387D49" w:rsidRP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87D49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за ______ год</w:t>
      </w:r>
    </w:p>
    <w:p w:rsidR="00387D49" w:rsidRDefault="00387D49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0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"/>
        <w:gridCol w:w="1386"/>
        <w:gridCol w:w="891"/>
        <w:gridCol w:w="1383"/>
        <w:gridCol w:w="1089"/>
        <w:gridCol w:w="1484"/>
        <w:gridCol w:w="1680"/>
        <w:gridCol w:w="1189"/>
        <w:gridCol w:w="1189"/>
        <w:gridCol w:w="1283"/>
        <w:gridCol w:w="1185"/>
        <w:gridCol w:w="1087"/>
        <w:gridCol w:w="1060"/>
      </w:tblGrid>
      <w:tr w:rsidR="00387D49" w:rsidRPr="00387D49" w:rsidTr="00387D49">
        <w:tc>
          <w:tcPr>
            <w:tcW w:w="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N</w:t>
            </w: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br/>
            </w:r>
            <w:proofErr w:type="gramStart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п</w:t>
            </w:r>
            <w:proofErr w:type="gramEnd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Статья нормативного правового акта, которым установлены налоговые льготы (пониженные налоговые ставки)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Налог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Установление пониженной ставки по налогу или освобождение от уплаты налога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Категория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Количество налогоплательщиков, воспользовавшихся налоговыми льготами (пониженными налоговыми ставками)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Доля налогоплательщиков, воспользовавшихся налоговыми льготами (пониженными налоговыми ставками), в общем объеме налогоплательщиков данной категории (</w:t>
            </w:r>
            <w:proofErr w:type="gramStart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в</w:t>
            </w:r>
            <w:proofErr w:type="gramEnd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 xml:space="preserve"> %)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Объем предоставленных налоговых льгот, тыс. руб.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Показатели эффективности налоговых льгот (пониженных налоговых ставок)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387D49" w:rsidRPr="00387D49" w:rsidTr="00387D49">
        <w:tc>
          <w:tcPr>
            <w:tcW w:w="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бюджетная эффективность (</w:t>
            </w:r>
            <w:proofErr w:type="spellStart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Кбэф</w:t>
            </w:r>
            <w:proofErr w:type="spellEnd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экономическая эффективность (</w:t>
            </w:r>
            <w:proofErr w:type="spellStart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Кээф</w:t>
            </w:r>
            <w:proofErr w:type="spellEnd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социальная эффективность (</w:t>
            </w:r>
            <w:proofErr w:type="spellStart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Ксэф</w:t>
            </w:r>
            <w:proofErr w:type="spellEnd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показатель эффективности (</w:t>
            </w:r>
            <w:proofErr w:type="spellStart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Эфнл</w:t>
            </w:r>
            <w:proofErr w:type="spellEnd"/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</w:tr>
      <w:tr w:rsidR="00387D49" w:rsidRPr="00387D49" w:rsidTr="00387D49"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  <w:r w:rsidRPr="00387D49"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  <w:t>12</w:t>
            </w:r>
          </w:p>
        </w:tc>
      </w:tr>
      <w:tr w:rsidR="00387D49" w:rsidRPr="00387D49" w:rsidTr="00387D49"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</w:tr>
      <w:tr w:rsidR="00387D49" w:rsidRPr="00387D49" w:rsidTr="00387D49"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D49" w:rsidRPr="00387D49" w:rsidRDefault="00387D49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</w:tr>
      <w:tr w:rsidR="00EB644D" w:rsidRPr="00387D49" w:rsidTr="00387D49"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</w:tr>
      <w:tr w:rsidR="00EB644D" w:rsidRPr="00387D49" w:rsidTr="00387D49"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44D" w:rsidRPr="00387D49" w:rsidRDefault="00EB644D" w:rsidP="00387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7"/>
                <w:szCs w:val="17"/>
                <w:lang w:eastAsia="ru-RU"/>
              </w:rPr>
            </w:pPr>
          </w:p>
        </w:tc>
      </w:tr>
    </w:tbl>
    <w:p w:rsidR="00387D49" w:rsidRDefault="00617C10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Глава администрации поселения</w:t>
      </w:r>
    </w:p>
    <w:p w:rsidR="00617C10" w:rsidRDefault="00617C10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617C10" w:rsidRDefault="00617C10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17C10" w:rsidRDefault="00617C10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Ответственное лиц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о(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исполнитель)______________________________________________________________________________</w:t>
      </w:r>
    </w:p>
    <w:p w:rsidR="00617C10" w:rsidRDefault="00617C10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17C10" w:rsidRPr="00387D49" w:rsidRDefault="00617C10" w:rsidP="0038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617C10" w:rsidRPr="00387D49" w:rsidSect="00387D49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Телефон _______________________</w:t>
      </w:r>
    </w:p>
    <w:p w:rsidR="00387D49" w:rsidRPr="00387D49" w:rsidRDefault="00387D49" w:rsidP="00EB6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44573" w:rsidRPr="002073F8" w:rsidRDefault="00E44573" w:rsidP="00E44573">
      <w:pPr>
        <w:ind w:left="4536"/>
        <w:rPr>
          <w:rFonts w:ascii="Times New Roman" w:hAnsi="Times New Roman" w:cs="Times New Roman"/>
          <w:sz w:val="24"/>
          <w:szCs w:val="24"/>
        </w:rPr>
      </w:pPr>
      <w:r w:rsidRPr="002073F8">
        <w:rPr>
          <w:rFonts w:ascii="Times New Roman" w:hAnsi="Times New Roman" w:cs="Times New Roman"/>
          <w:sz w:val="24"/>
          <w:szCs w:val="24"/>
        </w:rPr>
        <w:t>Приложение</w:t>
      </w:r>
      <w:r w:rsidR="002073F8" w:rsidRPr="002073F8">
        <w:rPr>
          <w:rFonts w:ascii="Times New Roman" w:hAnsi="Times New Roman" w:cs="Times New Roman"/>
          <w:sz w:val="24"/>
          <w:szCs w:val="24"/>
        </w:rPr>
        <w:t xml:space="preserve"> № 2 </w:t>
      </w:r>
      <w:r w:rsidRPr="002073F8">
        <w:rPr>
          <w:rFonts w:ascii="Times New Roman" w:hAnsi="Times New Roman" w:cs="Times New Roman"/>
          <w:sz w:val="24"/>
          <w:szCs w:val="24"/>
        </w:rPr>
        <w:t xml:space="preserve"> к решению Нижнегорского сельского совета </w:t>
      </w:r>
      <w:r w:rsidR="002073F8" w:rsidRPr="002073F8">
        <w:rPr>
          <w:rFonts w:ascii="Times New Roman" w:hAnsi="Times New Roman" w:cs="Times New Roman"/>
          <w:sz w:val="24"/>
          <w:szCs w:val="24"/>
        </w:rPr>
        <w:t xml:space="preserve">от 22.06.2018 № </w:t>
      </w:r>
    </w:p>
    <w:p w:rsidR="00E44573" w:rsidRPr="00E44573" w:rsidRDefault="00E44573" w:rsidP="00E44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  <w:r w:rsidRPr="00E4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оценки эффективности предоставленных (планируемых к предоставлению) налоговых льгот, пониженных налоговых ставок, установленных законами Республики Крым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оценки эффективности предоставленных (планируемых к предоставлению) налоговых льгот, пониженных налоговых ставок, установленных </w:t>
      </w:r>
      <w:r w:rsidR="00207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Нижнегорского сельского поселения Нижнегорского района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 (далее - налоговые льготы), являются: бюджетная эффективность, экономическая эффективность, социальная эффективность.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льгот проводится отдельно по каждому виду (направлению) налоговых льгот.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бюджетной эффективности налоговых льгот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Оценка бюджетной эффективности налоговых льгот осуществляется на основании расчета коэффициента бюджетной эффективности с использованием одного из следующих критериев: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Увеличение объема налоговых доходов бюджета. Коэффициент бюджетной эффективности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Кбэф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формуле</w:t>
      </w:r>
      <w:proofErr w:type="gram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44573" w:rsidRPr="00E44573" w:rsidRDefault="002073F8" w:rsidP="002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Кбэф = НП/ПБ</w:t>
      </w:r>
      <w:r w:rsidR="00E44573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- объем прироста налоговых поступлений в бюджет </w:t>
      </w:r>
      <w:r w:rsidR="00207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ПБ - сумма </w:t>
      </w:r>
      <w:proofErr w:type="gram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потерь бюджета </w:t>
      </w:r>
      <w:r w:rsidR="00207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2073F8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gram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от предоставления налоговых льгот.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gram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потерь бюджета </w:t>
      </w:r>
      <w:r w:rsidR="00207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2073F8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gram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от предоставления налоговых льгот (ПБ) рассчитывается по формуле: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уменьшении ставки налога: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ПБ=(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НБxСНxНО</w:t>
      </w:r>
      <w:proofErr w:type="spellEnd"/>
      <w:proofErr w:type="gram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НБxСНлxНО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НБ - налогооблагаемая база;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 - ставка налога, установленная в соответствии с </w:t>
      </w:r>
      <w:hyperlink r:id="rId8" w:anchor="/document/10900200/entry/1" w:history="1">
        <w:r w:rsidRPr="00E445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сборах;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СНл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налога, применяемая с учетом предоставления налоговых льгот;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- норматив зачисления налога в бюджет </w:t>
      </w:r>
      <w:r w:rsidR="00207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2073F8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Крым;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уменьшении налогооблагаемой базы: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ПБ=(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НБxСНxНО</w:t>
      </w:r>
      <w:proofErr w:type="spellEnd"/>
      <w:proofErr w:type="gram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НБлxСНxНО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НБ - налогооблагаемая база;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НБл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налогооблагаемая база, уменьшенная в результате предоставления налоговой льготы;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СН - ставка налога, установленная в соответствии с законодательством Российской Федерации;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- норматив зачисления налога в бюджет </w:t>
      </w:r>
      <w:r w:rsidR="00207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2073F8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Крым.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="002073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Кбэф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больше либо равно единице (</w:t>
      </w:r>
      <w:proofErr w:type="spellStart"/>
      <w:r w:rsidR="00207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Кбэф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&gt;= 1).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по данному критерию эффективности планируемых к предоставлению налоговых льгот используются прогнозные показатели динамики налоговых платежей в бюджет.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экономической эффективности налоговых льгот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 в соответствии с </w:t>
      </w:r>
      <w:hyperlink r:id="rId9" w:anchor="/document/43842632/entry/2100" w:history="1">
        <w:r w:rsidRPr="00E445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 При этом для оценки должно быть использовано не менее 5 показателей.</w:t>
      </w:r>
    </w:p>
    <w:p w:rsidR="00E44573" w:rsidRPr="00E44573" w:rsidRDefault="00E44573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Коэффициент экономической эффективности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Кээф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формуле:</w:t>
      </w:r>
      <w:r w:rsidRPr="00E445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21D32E" wp14:editId="67AF77D5">
                <wp:extent cx="866775" cy="238125"/>
                <wp:effectExtent l="0" t="0" r="0" b="0"/>
                <wp:docPr id="6" name="AutoShape 4" descr="http://internet.garant.ru/document/formula?revision=2562018&amp;document_id=43842632&amp;paragraph_id=201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internet.garant.ru/document/formula?revision=2562018&amp;document_id=43842632&amp;paragraph_id=201&amp;number=0" style="width:68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4573" w:rsidRPr="00E44573" w:rsidRDefault="002073F8" w:rsidP="0020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Кээф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Эр/Эс, </w:t>
      </w:r>
      <w:r w:rsidR="00E44573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44573" w:rsidRPr="00E44573" w:rsidRDefault="002073F8" w:rsidP="001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44573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44573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показателей, по которым произошел рост или уровень остался прежним;</w:t>
      </w:r>
    </w:p>
    <w:p w:rsidR="00E44573" w:rsidRPr="00E44573" w:rsidRDefault="002073F8" w:rsidP="001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4573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44573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показателей, по которым произошло снижение.</w:t>
      </w:r>
    </w:p>
    <w:p w:rsidR="00E44573" w:rsidRPr="00E44573" w:rsidRDefault="00E44573" w:rsidP="001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Кээф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больше или равно единице </w:t>
      </w:r>
      <w:proofErr w:type="gram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82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Кээф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&gt;= 1).</w:t>
      </w:r>
    </w:p>
    <w:p w:rsidR="00E44573" w:rsidRPr="00E44573" w:rsidRDefault="00E44573" w:rsidP="001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налоговых льгот для налогоплательщиков - физических лиц, не являющихся индивидуальными предпринимателями, оценка экономической эффективности не производится.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социальной эффективности налоговых льгот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Социальная эффективность налоговой льготы определяется на основании коэффициента социальной эффективности и отражает динамику следующих социально-экономических показателей налогоплательщиков: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годовой заработной платы;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обучение, переподготовку, повышение квалификации персонала в расчете на одного работника;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добровольное медицинское страхование персонала в расчете на одного работника;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отчислений на социальные проекты в расчете на одного работника;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средств, направленных налогоплательщиками на благотворительность, в расчете на одного работника;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повышение экологической безопасности в расчете на одного работника.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социальной эффективности налоговой льготы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формуле:</w:t>
      </w:r>
    </w:p>
    <w:p w:rsidR="00E44573" w:rsidRPr="00E44573" w:rsidRDefault="00182408" w:rsidP="00E44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5046A" wp14:editId="5CD72EC6">
            <wp:extent cx="1219200" cy="562708"/>
            <wp:effectExtent l="0" t="0" r="0" b="0"/>
            <wp:docPr id="13" name="Рисунок 13" descr="D:\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rmul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573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4573" w:rsidRPr="00E44573" w:rsidRDefault="00E44573" w:rsidP="001824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44573" w:rsidRPr="00E44573" w:rsidRDefault="00E44573" w:rsidP="001824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социальной эффективности налоговой льготы;</w:t>
      </w:r>
    </w:p>
    <w:p w:rsidR="00E44573" w:rsidRPr="00E44573" w:rsidRDefault="00182408" w:rsidP="001824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A3AB8" wp14:editId="5D1B880C">
            <wp:extent cx="333375" cy="194469"/>
            <wp:effectExtent l="0" t="0" r="0" b="0"/>
            <wp:docPr id="14" name="Рисунок 14" descr="D:\formul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rmula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73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прирост значений вышеуказанных социально-экономических показателей. Рассчитывается как разница значений показателя на начало и на конец года;</w:t>
      </w:r>
    </w:p>
    <w:p w:rsidR="00E44573" w:rsidRPr="00E44573" w:rsidRDefault="00E44573" w:rsidP="001824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ПБ - сумма потерь бюджета от предоставления налоговой льготы (рублей);</w:t>
      </w:r>
    </w:p>
    <w:p w:rsidR="00E44573" w:rsidRPr="00E44573" w:rsidRDefault="00E44573" w:rsidP="001824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Е - среднесписочная численность работников категории налогоплательщиков, пользующихся налоговой льготой (человек).</w:t>
      </w:r>
    </w:p>
    <w:p w:rsidR="00E44573" w:rsidRPr="00E44573" w:rsidRDefault="00E44573" w:rsidP="001824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больше или равно единице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&gt;= 1).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мер, направленных на содержание и развитие 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социальной инфраструктуры и (или) повышение </w:t>
      </w:r>
      <w:proofErr w:type="gram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благосостояния населения </w:t>
      </w:r>
      <w:r w:rsidR="0018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gram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Крым.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налоговых льгот для налогоплательщиков -</w:t>
      </w:r>
      <w:r w:rsidR="0018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 не являющихся индивидуальными предпринимателями, признается положительной в случае их предоставления категориям населения </w:t>
      </w:r>
      <w:r w:rsidR="0018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Крым, нуждающимся в оказании мер социальной поддержки.</w:t>
      </w:r>
    </w:p>
    <w:p w:rsid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налоговых льгот для организаций и индивидуальных предпринимателей, деятельность которых не связана с оказанием услуг населению, признается положительной в случае создания (сохранения) рабочих мест и роста среднемесячной заработной платы работников списочного состава, превышающего запланированный уровень инфляции на плановый период.</w:t>
      </w:r>
    </w:p>
    <w:p w:rsidR="00182408" w:rsidRPr="00E44573" w:rsidRDefault="00182408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сводного показателя оценки эффективности налоговых льгот</w:t>
      </w:r>
    </w:p>
    <w:p w:rsidR="00182408" w:rsidRPr="00E44573" w:rsidRDefault="00182408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Сводный показатель оценки эффективности налоговых льгот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Эфнл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показатель эффективности) определяется как отношение суммы коэффициентов бюджетной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Кбэф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экономической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Кээф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социальной эффективности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числу указанных коэффициентов и рассчитывается по формуле: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Эфнл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Кбэф+Кээф+Ксэф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)/3.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 имеют положительную эффективность, если значение показателя эффективности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Эфнл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больше либо равно единице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Эфнл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&gt;= 1).</w:t>
      </w:r>
    </w:p>
    <w:p w:rsidR="00E44573" w:rsidRPr="00E44573" w:rsidRDefault="00E44573" w:rsidP="00182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налоговых льгот, имеющих социальную направленность, предоставленных физическим лицам, не являющимся индивидуальными предпринимателями, некоммерческим общественным организациям показатель эффективности (</w:t>
      </w:r>
      <w:proofErr w:type="spellStart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Эфнл</w:t>
      </w:r>
      <w:proofErr w:type="spellEnd"/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равен 1, если налоговые льготы имеют положительную социальную эффективность.</w:t>
      </w:r>
    </w:p>
    <w:p w:rsidR="002847AC" w:rsidRDefault="00E44573" w:rsidP="002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" w:anchor="/document/43842632/entry/2000" w:history="1">
        <w:r w:rsidRPr="00E445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Методике оценки</w:t>
        </w:r>
      </w:hyperlink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предоставленных (планируемых к 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предоставлению) налоговых льгот,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пониженных налоговых ставок, </w:t>
      </w: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установленных </w:t>
      </w:r>
      <w:r w:rsidR="00284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</w:t>
      </w:r>
    </w:p>
    <w:p w:rsidR="002847AC" w:rsidRDefault="002847AC" w:rsidP="002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Нижнегорского сельского поселения</w:t>
      </w:r>
      <w:r w:rsidR="00E44573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573" w:rsidRDefault="002847AC" w:rsidP="002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</w:t>
      </w:r>
      <w:r w:rsidR="00E44573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</w:p>
    <w:p w:rsidR="002847AC" w:rsidRPr="00E44573" w:rsidRDefault="002847AC" w:rsidP="002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73" w:rsidRPr="00E44573" w:rsidRDefault="00E44573" w:rsidP="0028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</w:p>
    <w:p w:rsidR="00E44573" w:rsidRPr="00E44573" w:rsidRDefault="00E44573" w:rsidP="0028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 для расчета эффективности</w:t>
      </w:r>
    </w:p>
    <w:p w:rsidR="00E44573" w:rsidRPr="00E44573" w:rsidRDefault="00E44573" w:rsidP="0028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</w:t>
      </w:r>
    </w:p>
    <w:p w:rsidR="00E44573" w:rsidRPr="00E44573" w:rsidRDefault="00E44573" w:rsidP="00E4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налога__________________________________________________________</w:t>
      </w:r>
    </w:p>
    <w:p w:rsidR="00E44573" w:rsidRPr="00E44573" w:rsidRDefault="00E44573" w:rsidP="00E4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категории налогоплательщика____________________________</w:t>
      </w:r>
    </w:p>
    <w:p w:rsidR="00E44573" w:rsidRDefault="00E44573" w:rsidP="00E4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налоговой льготы_________________________________________</w:t>
      </w:r>
    </w:p>
    <w:p w:rsidR="002847AC" w:rsidRPr="00E44573" w:rsidRDefault="002847AC" w:rsidP="00E4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4090"/>
        <w:gridCol w:w="1300"/>
        <w:gridCol w:w="1116"/>
        <w:gridCol w:w="1413"/>
        <w:gridCol w:w="1568"/>
      </w:tblGrid>
      <w:tr w:rsidR="00E44573" w:rsidRPr="00E44573" w:rsidTr="00E44573">
        <w:trPr>
          <w:tblCellSpacing w:w="15" w:type="dxa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предоставленным налоговым льготам</w:t>
            </w:r>
          </w:p>
        </w:tc>
      </w:tr>
      <w:tr w:rsidR="00E44573" w:rsidRPr="00E44573" w:rsidTr="00E4457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573" w:rsidRPr="00E44573" w:rsidRDefault="00E44573" w:rsidP="00E4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573" w:rsidRPr="00E44573" w:rsidRDefault="00E44573" w:rsidP="00E4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573" w:rsidRPr="00E44573" w:rsidRDefault="00E44573" w:rsidP="00E4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(снижения),%</w:t>
            </w:r>
          </w:p>
        </w:tc>
      </w:tr>
      <w:tr w:rsidR="00E44573" w:rsidRPr="00E44573" w:rsidTr="00E44573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товаров, продукции, работ, услуг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573" w:rsidRPr="00E44573" w:rsidTr="00E44573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товаров, работ, услуг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573" w:rsidRPr="00E44573" w:rsidTr="00E44573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(или чистая </w:t>
            </w: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прибыль)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 рублей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573" w:rsidRPr="00E44573" w:rsidTr="00E44573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(</w:t>
            </w:r>
            <w:hyperlink r:id="rId13" w:anchor="/document/43842632/entry/301" w:history="1">
              <w:r w:rsidRPr="00E445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стр. 3</w:t>
              </w:r>
            </w:hyperlink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14" w:anchor="/document/43842632/entry/3020" w:history="1">
              <w:r w:rsidRPr="00E445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стр. 2</w:t>
              </w:r>
            </w:hyperlink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573" w:rsidRPr="00E44573" w:rsidTr="00E44573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573" w:rsidRPr="00E44573" w:rsidTr="00E44573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стоимость основных средств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573" w:rsidRPr="00E44573" w:rsidTr="00E44573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573" w:rsidRPr="00E44573" w:rsidTr="00E44573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(или количество вновь созданных рабочих мест)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573" w:rsidRPr="00E44573" w:rsidTr="00E44573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(</w:t>
            </w:r>
            <w:hyperlink r:id="rId15" w:anchor="/document/43842632/entry/70" w:history="1">
              <w:r w:rsidRPr="00E445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стр. 7</w:t>
              </w:r>
            </w:hyperlink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16" w:anchor="/document/43842632/entry/80" w:history="1">
              <w:r w:rsidRPr="00E445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стр. 8</w:t>
              </w:r>
            </w:hyperlink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количество месяцев)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573" w:rsidRPr="00E44573" w:rsidTr="00E44573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284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налоговых поступлений в бюджет </w:t>
            </w:r>
            <w:r w:rsidR="0028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D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</w:t>
            </w:r>
            <w:bookmarkStart w:id="33" w:name="_GoBack"/>
            <w:bookmarkEnd w:id="33"/>
            <w:r w:rsidR="0028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573" w:rsidRPr="00E44573" w:rsidRDefault="00E44573" w:rsidP="00E44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4573" w:rsidRPr="00E44573" w:rsidRDefault="002847AC" w:rsidP="00E4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E44573"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E44573" w:rsidRPr="00E44573" w:rsidRDefault="00E44573" w:rsidP="00E4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(исполнитель)____________________________________</w:t>
      </w:r>
    </w:p>
    <w:p w:rsidR="00E44573" w:rsidRPr="00E44573" w:rsidRDefault="00E44573" w:rsidP="00E4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E445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</w:p>
    <w:p w:rsidR="00E44573" w:rsidRDefault="00E44573" w:rsidP="00387D49">
      <w:pPr>
        <w:jc w:val="both"/>
      </w:pPr>
    </w:p>
    <w:p w:rsidR="00E44573" w:rsidRDefault="00E44573" w:rsidP="00387D49">
      <w:pPr>
        <w:jc w:val="both"/>
      </w:pPr>
    </w:p>
    <w:p w:rsidR="00E44573" w:rsidRDefault="00E44573" w:rsidP="00387D49">
      <w:pPr>
        <w:jc w:val="both"/>
      </w:pPr>
    </w:p>
    <w:p w:rsidR="00E44573" w:rsidRDefault="00E44573" w:rsidP="00387D49">
      <w:pPr>
        <w:jc w:val="both"/>
      </w:pPr>
    </w:p>
    <w:p w:rsidR="00E44573" w:rsidRDefault="00E44573" w:rsidP="00387D49">
      <w:pPr>
        <w:jc w:val="both"/>
      </w:pPr>
    </w:p>
    <w:p w:rsidR="00E44573" w:rsidRDefault="00E44573" w:rsidP="00387D49">
      <w:pPr>
        <w:jc w:val="both"/>
      </w:pPr>
    </w:p>
    <w:p w:rsidR="00E44573" w:rsidRDefault="00E44573" w:rsidP="00387D49">
      <w:pPr>
        <w:jc w:val="both"/>
      </w:pPr>
    </w:p>
    <w:p w:rsidR="00E44573" w:rsidRDefault="00E44573" w:rsidP="00387D49">
      <w:pPr>
        <w:jc w:val="both"/>
      </w:pPr>
    </w:p>
    <w:p w:rsidR="00E44573" w:rsidRDefault="00E44573" w:rsidP="00387D49">
      <w:pPr>
        <w:jc w:val="both"/>
      </w:pPr>
    </w:p>
    <w:p w:rsidR="00E44573" w:rsidRDefault="00E44573" w:rsidP="00387D49">
      <w:pPr>
        <w:jc w:val="both"/>
      </w:pPr>
    </w:p>
    <w:sectPr w:rsidR="00E44573" w:rsidSect="00617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6750"/>
    <w:multiLevelType w:val="hybridMultilevel"/>
    <w:tmpl w:val="F9A48B7C"/>
    <w:lvl w:ilvl="0" w:tplc="C2BE992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49"/>
    <w:rsid w:val="000D72DB"/>
    <w:rsid w:val="00182408"/>
    <w:rsid w:val="002073F8"/>
    <w:rsid w:val="00217F95"/>
    <w:rsid w:val="002847AC"/>
    <w:rsid w:val="002C3A2E"/>
    <w:rsid w:val="00387D49"/>
    <w:rsid w:val="003B6E76"/>
    <w:rsid w:val="005F0320"/>
    <w:rsid w:val="00617C10"/>
    <w:rsid w:val="00631FCD"/>
    <w:rsid w:val="00644C89"/>
    <w:rsid w:val="006B6965"/>
    <w:rsid w:val="007655DB"/>
    <w:rsid w:val="00B51FF9"/>
    <w:rsid w:val="00D026BC"/>
    <w:rsid w:val="00D44EAE"/>
    <w:rsid w:val="00E44573"/>
    <w:rsid w:val="00E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8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2018-06-22T06:40:00Z</cp:lastPrinted>
  <dcterms:created xsi:type="dcterms:W3CDTF">2018-06-22T06:13:00Z</dcterms:created>
  <dcterms:modified xsi:type="dcterms:W3CDTF">2018-06-25T13:04:00Z</dcterms:modified>
</cp:coreProperties>
</file>